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中华人民共和国最高人民法院</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公</w:t>
      </w:r>
      <w:r>
        <w:rPr>
          <w:rFonts w:hint="eastAsia"/>
          <w:lang w:eastAsia="zh-CN"/>
        </w:rPr>
        <w:t xml:space="preserve">    </w:t>
      </w:r>
      <w:r>
        <w:rPr>
          <w:rFonts w:hint="eastAsia"/>
        </w:rPr>
        <w:t>告</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《最高人民法院关于适用〈中华人民共和国公司法〉若干问题的规定（五）》已于2019年4月22日由最高人民法院审判委员会第1766次会议通过，现予公布，自2019年4月29日起施行。</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sz w:val="32"/>
          <w:szCs w:val="32"/>
        </w:rPr>
      </w:pPr>
    </w:p>
    <w:p>
      <w:pPr>
        <w:pStyle w:val="2"/>
        <w:spacing w:line="520" w:lineRule="exact"/>
        <w:jc w:val="right"/>
        <w:rPr>
          <w:rFonts w:ascii="仿宋_GB2312" w:hAnsi="宋体" w:eastAsia="仿宋_GB2312" w:cs="宋体"/>
          <w:sz w:val="32"/>
          <w:szCs w:val="32"/>
        </w:rPr>
      </w:pPr>
      <w:r>
        <w:rPr>
          <w:rFonts w:hint="eastAsia" w:ascii="仿宋_GB2312" w:hAnsi="宋体" w:eastAsia="仿宋_GB2312" w:cs="宋体"/>
          <w:sz w:val="32"/>
          <w:szCs w:val="32"/>
        </w:rPr>
        <w:t>2019年4月28日</w:t>
      </w:r>
    </w:p>
    <w:p>
      <w:pPr>
        <w:pStyle w:val="2"/>
        <w:spacing w:line="520" w:lineRule="exact"/>
        <w:jc w:val="center"/>
        <w:rPr>
          <w:rFonts w:ascii="仿宋_GB2312" w:hAnsi="宋体" w:eastAsia="仿宋_GB2312" w:cs="宋体"/>
          <w:sz w:val="32"/>
          <w:szCs w:val="32"/>
        </w:rPr>
      </w:pPr>
    </w:p>
    <w:p>
      <w:pPr>
        <w:pStyle w:val="2"/>
        <w:spacing w:line="520" w:lineRule="exact"/>
        <w:rPr>
          <w:rFonts w:hint="eastAsia" w:ascii="宋体" w:hAnsi="宋体" w:eastAsia="宋体" w:cs="宋体"/>
          <w:sz w:val="32"/>
          <w:szCs w:val="32"/>
        </w:rPr>
        <w:sectPr>
          <w:footerReference r:id="rId4" w:type="default"/>
          <w:headerReference r:id="rId3" w:type="even"/>
          <w:footerReference r:id="rId5" w:type="even"/>
          <w:pgSz w:w="11906" w:h="16838"/>
          <w:pgMar w:top="2098" w:right="1474" w:bottom="1984" w:left="1587" w:header="851" w:footer="992" w:gutter="0"/>
          <w:pgNumType w:start="0"/>
          <w:cols w:space="425" w:num="1"/>
          <w:docGrid w:type="lines" w:linePitch="312" w:charSpace="0"/>
        </w:sectPr>
      </w:pPr>
      <w:bookmarkStart w:id="0" w:name="_GoBack"/>
      <w:bookmarkEnd w:id="0"/>
    </w:p>
    <w:p>
      <w:pPr>
        <w:pStyle w:val="2"/>
        <w:spacing w:line="520" w:lineRule="exact"/>
        <w:rPr>
          <w:rFonts w:hint="eastAsia" w:ascii="宋体" w:hAnsi="宋体" w:eastAsia="宋体" w:cs="宋体"/>
          <w:sz w:val="32"/>
          <w:szCs w:val="32"/>
        </w:rPr>
      </w:pPr>
    </w:p>
    <w:p>
      <w:pPr>
        <w:pStyle w:val="2"/>
        <w:spacing w:line="520" w:lineRule="exact"/>
        <w:rPr>
          <w:rFonts w:hint="eastAsia" w:ascii="宋体" w:hAnsi="宋体" w:eastAsia="宋体" w:cs="宋体"/>
          <w:sz w:val="32"/>
          <w:szCs w:val="32"/>
        </w:rPr>
      </w:pPr>
    </w:p>
    <w:p>
      <w:pPr>
        <w:pStyle w:val="9"/>
        <w:bidi w:val="0"/>
      </w:pPr>
      <w:r>
        <w:rPr>
          <w:rFonts w:hint="eastAsia"/>
        </w:rPr>
        <w:t>最高人民法院</w:t>
      </w:r>
    </w:p>
    <w:p>
      <w:pPr>
        <w:pStyle w:val="9"/>
        <w:bidi w:val="0"/>
      </w:pPr>
      <w:r>
        <w:rPr>
          <w:rFonts w:hint="eastAsia"/>
        </w:rPr>
        <w:t>关于适用《中华人民共和国公司法》</w:t>
      </w:r>
    </w:p>
    <w:p>
      <w:pPr>
        <w:pStyle w:val="9"/>
        <w:bidi w:val="0"/>
        <w:rPr>
          <w:rFonts w:hint="eastAsia"/>
        </w:rPr>
      </w:pPr>
      <w:r>
        <w:rPr>
          <w:rFonts w:hint="eastAsia"/>
        </w:rPr>
        <w:t>若干问题的规定（五）</w:t>
      </w:r>
    </w:p>
    <w:p>
      <w:pPr>
        <w:pStyle w:val="2"/>
        <w:spacing w:line="520" w:lineRule="exact"/>
        <w:rPr>
          <w:rFonts w:hint="eastAsia" w:ascii="宋体" w:hAnsi="宋体" w:eastAsia="宋体" w:cs="宋体"/>
          <w:sz w:val="32"/>
          <w:szCs w:val="32"/>
        </w:rPr>
      </w:pPr>
    </w:p>
    <w:p>
      <w:pPr>
        <w:pStyle w:val="11"/>
        <w:bidi w:val="0"/>
      </w:pPr>
      <w:r>
        <w:rPr>
          <w:rFonts w:hint="eastAsia"/>
        </w:rPr>
        <w:t>法释〔2019〕7号</w:t>
      </w:r>
    </w:p>
    <w:p>
      <w:pPr>
        <w:pStyle w:val="2"/>
        <w:spacing w:line="520" w:lineRule="exact"/>
        <w:rPr>
          <w:rFonts w:hint="eastAsia" w:ascii="宋体" w:hAnsi="宋体" w:eastAsia="宋体" w:cs="宋体"/>
          <w:sz w:val="32"/>
          <w:szCs w:val="32"/>
        </w:rPr>
      </w:pPr>
    </w:p>
    <w:p>
      <w:pPr>
        <w:pStyle w:val="10"/>
        <w:bidi w:val="0"/>
      </w:pPr>
      <w:r>
        <w:rPr>
          <w:rFonts w:hint="eastAsia"/>
        </w:rPr>
        <w:t>（2019年4月22日最高人民法院审判委员会第1766次会议审议通过，自2019年4月29日起施行）</w:t>
      </w:r>
    </w:p>
    <w:p>
      <w:pPr>
        <w:pStyle w:val="10"/>
        <w:bidi w:val="0"/>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为正确适用《中华人民共和国公司法》，结合人民法院审判实践，就股东权益保护等纠纷案件适用法律问题作出如下规定。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第一条  </w:t>
      </w:r>
      <w:r>
        <w:rPr>
          <w:rFonts w:hint="eastAsia" w:ascii="仿宋_GB2312" w:hAnsi="宋体" w:eastAsia="仿宋_GB2312" w:cs="宋体"/>
          <w:sz w:val="32"/>
          <w:szCs w:val="32"/>
        </w:rPr>
        <w:t>关联交易损害公司利益，原告公司依据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公司没有提起诉讼的，符合公司法第一百五十一条第一款规定条件的股东，可以依据公司法第一百五十一条第二款、第三款规定向人民法院提起诉讼。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第二条  </w:t>
      </w:r>
      <w:r>
        <w:rPr>
          <w:rFonts w:hint="eastAsia" w:ascii="仿宋_GB2312" w:hAnsi="宋体" w:eastAsia="仿宋_GB2312" w:cs="宋体"/>
          <w:sz w:val="32"/>
          <w:szCs w:val="32"/>
        </w:rPr>
        <w:t>关联交易合同存在无效或者可撤销情形，公司没有起诉合同相对方的，符合公司法第一百五十一条第一款规定条件的股东，可以依据公司法第一百五十一条第二款、第三款规定向人民法院提起诉讼。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第三条  </w:t>
      </w:r>
      <w:r>
        <w:rPr>
          <w:rFonts w:hint="eastAsia" w:ascii="仿宋_GB2312" w:hAnsi="宋体" w:eastAsia="仿宋_GB2312" w:cs="宋体"/>
          <w:sz w:val="32"/>
          <w:szCs w:val="32"/>
        </w:rPr>
        <w:t>董事任期届满前被股东会或者股东大会有效决议解除职务，其主张解除不发生法律效力的，人民法院不予支持。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董事职务被解除后，因补偿与公司发生纠纷提起诉讼的，人民法院应当依据法律、行政法规、公司章程的规定或者合同的约定，综合考虑解除的原因、剩余任期、董事薪酬等因素，确定是否补偿以及补偿的合理数额。</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第四条  </w:t>
      </w:r>
      <w:r>
        <w:rPr>
          <w:rFonts w:hint="eastAsia" w:ascii="仿宋_GB2312" w:hAnsi="宋体" w:eastAsia="仿宋_GB2312" w:cs="宋体"/>
          <w:sz w:val="32"/>
          <w:szCs w:val="32"/>
        </w:rPr>
        <w:t>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决议中载明的利润分配完成时间超过公司章程规定时间的，股东可以依据公司法第二十二条第二款规定请求人民法院撤销决议中关于该时间的规定。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第五条  </w:t>
      </w:r>
      <w:r>
        <w:rPr>
          <w:rFonts w:hint="eastAsia" w:ascii="仿宋_GB2312" w:hAnsi="宋体" w:eastAsia="仿宋_GB2312" w:cs="宋体"/>
          <w:sz w:val="32"/>
          <w:szCs w:val="32"/>
        </w:rPr>
        <w:t>人民法院审理涉及有限责任公司股东重大分歧案件时，应当注重调解。当事人协商一致以下列方式解决分歧，且不违反法律、行政法规的强制性规定的，人民法院应予支持：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（一）公司回购部分股东股份；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（二）其他股东受让部分股东股份；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（三）他人受让部分股东股份；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（四）公司减资；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（五）公司分立；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（六）其他能够解决分歧，恢复公司正常经营，避免公司解散的方式。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第六条</w:t>
      </w:r>
      <w:r>
        <w:rPr>
          <w:rFonts w:hint="eastAsia" w:ascii="仿宋_GB2312" w:hAnsi="宋体" w:eastAsia="仿宋_GB2312" w:cs="宋体"/>
          <w:sz w:val="32"/>
          <w:szCs w:val="32"/>
        </w:rPr>
        <w:t xml:space="preserve">  本规定自2019年4月29日起施行。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本规定施行后尚未终审的案件，适用本规定；本规定施行前已经终审的案件，或者适用审判监督程序再审的案件，不适用本规定。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本院以前发布的司法解释与本规定不一致的，以本规定为准。</w:t>
      </w:r>
    </w:p>
    <w:sectPr>
      <w:footerReference r:id="rId7" w:type="default"/>
      <w:headerReference r:id="rId6" w:type="even"/>
      <w:footerReference r:id="rId8" w:type="even"/>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posOffset>5164455</wp:posOffset>
              </wp:positionH>
              <wp:positionV relativeFrom="paragraph">
                <wp:posOffset>-137160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rPr>
                          </w:pP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0</w:t>
                          </w:r>
                          <w:r>
                            <w:rPr>
                              <w:rStyle w:val="8"/>
                              <w:rFonts w:hint="eastAsia" w:asciiTheme="minorEastAsia" w:hAnsiTheme="minorEastAsia" w:eastAsiaTheme="minorEastAsia" w:cstheme="minorEastAsia"/>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406.65pt;margin-top:-10.8pt;height:144pt;width:144pt;mso-position-horizontal-relative:margin;mso-wrap-style:none;z-index:251658240;mso-width-relative:page;mso-height-relative:page;" filled="f" stroked="f" coordsize="21600,21600" o:gfxdata="UEsDBAoAAAAAAIdO4kAAAAAAAAAAAAAAAAAEAAAAZHJzL1BLAwQUAAAACACHTuJATBp6PNcAAAAM&#10;AQAADwAAAGRycy9kb3ducmV2LnhtbE2PPU/DMBCGdyT+g3VIbK3tFIUo5NKhEgsbBSGxufE1jvBH&#10;FLtp8u9xJxjv7tF7z9vsF2fZTFMcgkeQWwGMfBf04HuEz4/XTQUsJuW1ssETwkoR9u39XaNqHa7+&#10;neZj6lkO8bFWCCalseY8doacitswks+3c5icSnmceq4ndc3hzvJCiJI7Nfj8waiRDoa6n+PFITwv&#10;X4HGSAf6Ps/dZIa1sm8r4uODFC/AEi3pD4abflaHNjudwsXryCxCJXe7jCJsClkCuxFSyLw6IRRl&#10;+QS8bfj/Eu0vUEsDBBQAAAAIAIdO4kAtNn0sxQEAAGsDAAAOAAAAZHJzL2Uyb0RvYy54bWytU02u&#10;0zAQ3iNxB8t7mrTSQyWq+wR6eggJAdKDA7iO01iyPdbYbVIOADdgxYY95+o5GLtJH4IdYuOM5+eb&#10;7xtPNrejs+yoMRrwgi8XNWfaK2iN3wv+6eP9szVnMUnfSgteC37Skd9unz7ZDKHRK+jBthoZgfjY&#10;DEHwPqXQVFVUvXYyLiBoT8EO0MlEV9xXLcqB0J2tVnX9vBoA24CgdIzkvbsE+bbgd51W6X3XRZ2Y&#10;FZy4pXJiOXf5rLYb2exRht6oiYb8BxZOGk9Nr1B3Mkl2QPMXlDMKIUKXFgpcBV1nlC4aSM2y/kPN&#10;Qy+DLlpoODFcxxT/H6x6d/yAzLT0dpx56eiJzt++nr//PP/4wpZ5PEOIDWU9BMpL4ysYc+rkj+TM&#10;qscOXf6SHkZxGvTpOlw9JqZy0Xq1XtcUUhSbL4RTPZYHjOm1BseyITjS65WhyuPbmC6pc0ru5uHe&#10;WEt+2VjPBsFf3KxuSsE1QuDWU48s4kI2W2ncjZOCHbQnEkYbTA17wM+cDbQNgntaV87sG0/Dzosz&#10;Gzgbu9mQXlGh4ImzQ0Cz78uSZVYxvDwkIlm458aXbhMfetGiftq+vDK/30vW4z+y/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Gno81wAAAAwBAAAPAAAAAAAAAAEAIAAAACIAAABkcnMvZG93bnJl&#10;di54bWxQSwECFAAUAAAACACHTuJALTZ9LMUBAABrAwAADgAAAAAAAAABACAAAAAmAQAAZHJzL2Uy&#10;b0RvYy54bWxQSwUGAAAAAAYABgBZAQAAXQUAAAAA&#10;">
              <v:fill on="f" focussize="0,0"/>
              <v:stroke on="f"/>
              <v:imagedata o:title=""/>
              <o:lock v:ext="edit" aspectratio="f"/>
              <v:textbox inset="0mm,0mm,0mm,0mm" style="mso-fit-shape-to-text:t;">
                <w:txbxContent>
                  <w:p>
                    <w:pPr>
                      <w:pStyle w:val="4"/>
                      <w:rPr>
                        <w:rStyle w:val="8"/>
                      </w:rPr>
                    </w:pP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0</w:t>
                    </w:r>
                    <w:r>
                      <w:rPr>
                        <w:rStyle w:val="8"/>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43"/>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70A8B"/>
    <w:rsid w:val="000720A0"/>
    <w:rsid w:val="00072E51"/>
    <w:rsid w:val="000831A5"/>
    <w:rsid w:val="00092662"/>
    <w:rsid w:val="00093500"/>
    <w:rsid w:val="00094871"/>
    <w:rsid w:val="000A67EC"/>
    <w:rsid w:val="000B1F15"/>
    <w:rsid w:val="000B47FF"/>
    <w:rsid w:val="000D7352"/>
    <w:rsid w:val="000E5187"/>
    <w:rsid w:val="000E56CF"/>
    <w:rsid w:val="000E6D88"/>
    <w:rsid w:val="000F150B"/>
    <w:rsid w:val="000F2196"/>
    <w:rsid w:val="000F2D91"/>
    <w:rsid w:val="00106D59"/>
    <w:rsid w:val="001211C7"/>
    <w:rsid w:val="00125415"/>
    <w:rsid w:val="00141FB6"/>
    <w:rsid w:val="00156266"/>
    <w:rsid w:val="00162880"/>
    <w:rsid w:val="0016489F"/>
    <w:rsid w:val="0016665A"/>
    <w:rsid w:val="00170A71"/>
    <w:rsid w:val="001A7520"/>
    <w:rsid w:val="001B131A"/>
    <w:rsid w:val="001B153F"/>
    <w:rsid w:val="001B6523"/>
    <w:rsid w:val="001D4E14"/>
    <w:rsid w:val="001D5662"/>
    <w:rsid w:val="001E1AB1"/>
    <w:rsid w:val="002064F7"/>
    <w:rsid w:val="00206B2B"/>
    <w:rsid w:val="0021638E"/>
    <w:rsid w:val="0023259F"/>
    <w:rsid w:val="00233F94"/>
    <w:rsid w:val="00235183"/>
    <w:rsid w:val="00241E35"/>
    <w:rsid w:val="002428F9"/>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3AEE"/>
    <w:rsid w:val="0031621E"/>
    <w:rsid w:val="00327650"/>
    <w:rsid w:val="00334544"/>
    <w:rsid w:val="003370AB"/>
    <w:rsid w:val="003407E4"/>
    <w:rsid w:val="00342C41"/>
    <w:rsid w:val="00344576"/>
    <w:rsid w:val="00356973"/>
    <w:rsid w:val="00356AAC"/>
    <w:rsid w:val="00357579"/>
    <w:rsid w:val="00357968"/>
    <w:rsid w:val="00374592"/>
    <w:rsid w:val="00384827"/>
    <w:rsid w:val="003854B1"/>
    <w:rsid w:val="003871CA"/>
    <w:rsid w:val="003902DE"/>
    <w:rsid w:val="00390825"/>
    <w:rsid w:val="00394561"/>
    <w:rsid w:val="00395336"/>
    <w:rsid w:val="003D7E4C"/>
    <w:rsid w:val="003E737D"/>
    <w:rsid w:val="003F534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A69A0"/>
    <w:rsid w:val="004B0465"/>
    <w:rsid w:val="004B2619"/>
    <w:rsid w:val="004B7D8C"/>
    <w:rsid w:val="004C1EAA"/>
    <w:rsid w:val="004C4DF7"/>
    <w:rsid w:val="004C569C"/>
    <w:rsid w:val="004F5158"/>
    <w:rsid w:val="00506C84"/>
    <w:rsid w:val="005142A1"/>
    <w:rsid w:val="00517CAB"/>
    <w:rsid w:val="0053713F"/>
    <w:rsid w:val="005433C2"/>
    <w:rsid w:val="005502F2"/>
    <w:rsid w:val="00562083"/>
    <w:rsid w:val="0058350A"/>
    <w:rsid w:val="00594376"/>
    <w:rsid w:val="005A56F6"/>
    <w:rsid w:val="005A6C12"/>
    <w:rsid w:val="005C1972"/>
    <w:rsid w:val="005D3469"/>
    <w:rsid w:val="005E2A4A"/>
    <w:rsid w:val="005F1B3D"/>
    <w:rsid w:val="00602816"/>
    <w:rsid w:val="00604ACB"/>
    <w:rsid w:val="00606C5B"/>
    <w:rsid w:val="006171AA"/>
    <w:rsid w:val="006178C3"/>
    <w:rsid w:val="00621BAF"/>
    <w:rsid w:val="0062410E"/>
    <w:rsid w:val="00626CE8"/>
    <w:rsid w:val="00661621"/>
    <w:rsid w:val="006711F4"/>
    <w:rsid w:val="0068140B"/>
    <w:rsid w:val="00685825"/>
    <w:rsid w:val="006B086F"/>
    <w:rsid w:val="006E1FF4"/>
    <w:rsid w:val="006E7630"/>
    <w:rsid w:val="006F0A7E"/>
    <w:rsid w:val="006F6FC3"/>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C01D1"/>
    <w:rsid w:val="007C5705"/>
    <w:rsid w:val="007D13B8"/>
    <w:rsid w:val="007D77CE"/>
    <w:rsid w:val="00802CDC"/>
    <w:rsid w:val="00805E1D"/>
    <w:rsid w:val="00823C1E"/>
    <w:rsid w:val="00826D77"/>
    <w:rsid w:val="0083338D"/>
    <w:rsid w:val="008701AB"/>
    <w:rsid w:val="0087139A"/>
    <w:rsid w:val="00877798"/>
    <w:rsid w:val="008802DB"/>
    <w:rsid w:val="00890F76"/>
    <w:rsid w:val="0089274E"/>
    <w:rsid w:val="008A08FA"/>
    <w:rsid w:val="008E70E5"/>
    <w:rsid w:val="008F50DB"/>
    <w:rsid w:val="008F5238"/>
    <w:rsid w:val="008F7723"/>
    <w:rsid w:val="00904BC8"/>
    <w:rsid w:val="00911248"/>
    <w:rsid w:val="00913A4E"/>
    <w:rsid w:val="00925F75"/>
    <w:rsid w:val="0097410F"/>
    <w:rsid w:val="00974280"/>
    <w:rsid w:val="00974393"/>
    <w:rsid w:val="0097704C"/>
    <w:rsid w:val="00986E7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35D41"/>
    <w:rsid w:val="00A40953"/>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F009A"/>
    <w:rsid w:val="00BF2167"/>
    <w:rsid w:val="00BF6AB5"/>
    <w:rsid w:val="00C03182"/>
    <w:rsid w:val="00C10C97"/>
    <w:rsid w:val="00C41CE2"/>
    <w:rsid w:val="00C452E4"/>
    <w:rsid w:val="00C53D36"/>
    <w:rsid w:val="00C57E0D"/>
    <w:rsid w:val="00C636EE"/>
    <w:rsid w:val="00C7181C"/>
    <w:rsid w:val="00C73C73"/>
    <w:rsid w:val="00C75F27"/>
    <w:rsid w:val="00C76A21"/>
    <w:rsid w:val="00C85BE4"/>
    <w:rsid w:val="00CA3B61"/>
    <w:rsid w:val="00CB05CD"/>
    <w:rsid w:val="00CB268F"/>
    <w:rsid w:val="00CD046D"/>
    <w:rsid w:val="00CD15F8"/>
    <w:rsid w:val="00CF0128"/>
    <w:rsid w:val="00CF0812"/>
    <w:rsid w:val="00CF41FE"/>
    <w:rsid w:val="00CF4321"/>
    <w:rsid w:val="00CF5E94"/>
    <w:rsid w:val="00CF7BE1"/>
    <w:rsid w:val="00D07F94"/>
    <w:rsid w:val="00D16B69"/>
    <w:rsid w:val="00D21DEB"/>
    <w:rsid w:val="00D3514F"/>
    <w:rsid w:val="00D6266A"/>
    <w:rsid w:val="00D91F48"/>
    <w:rsid w:val="00D97443"/>
    <w:rsid w:val="00DB1764"/>
    <w:rsid w:val="00DB2440"/>
    <w:rsid w:val="00DB3C8A"/>
    <w:rsid w:val="00DB5F18"/>
    <w:rsid w:val="00DC5F89"/>
    <w:rsid w:val="00DD0C51"/>
    <w:rsid w:val="00E06E17"/>
    <w:rsid w:val="00E11578"/>
    <w:rsid w:val="00E25C09"/>
    <w:rsid w:val="00E35402"/>
    <w:rsid w:val="00E379EC"/>
    <w:rsid w:val="00E42DA2"/>
    <w:rsid w:val="00E47E0D"/>
    <w:rsid w:val="00E526C3"/>
    <w:rsid w:val="00E56A87"/>
    <w:rsid w:val="00E56E52"/>
    <w:rsid w:val="00E854B0"/>
    <w:rsid w:val="00E9403C"/>
    <w:rsid w:val="00E956E5"/>
    <w:rsid w:val="00E95DF8"/>
    <w:rsid w:val="00E97496"/>
    <w:rsid w:val="00EB642C"/>
    <w:rsid w:val="00EB67B5"/>
    <w:rsid w:val="00EB6A82"/>
    <w:rsid w:val="00EE1F86"/>
    <w:rsid w:val="00EE4190"/>
    <w:rsid w:val="00F01156"/>
    <w:rsid w:val="00F11389"/>
    <w:rsid w:val="00F11CAA"/>
    <w:rsid w:val="00F14865"/>
    <w:rsid w:val="00F3114F"/>
    <w:rsid w:val="00F3147A"/>
    <w:rsid w:val="00F31FF1"/>
    <w:rsid w:val="00F347B6"/>
    <w:rsid w:val="00F37571"/>
    <w:rsid w:val="00F44A15"/>
    <w:rsid w:val="00F4779A"/>
    <w:rsid w:val="00F70562"/>
    <w:rsid w:val="00F744B5"/>
    <w:rsid w:val="00F845F5"/>
    <w:rsid w:val="00F865EA"/>
    <w:rsid w:val="00F90AF4"/>
    <w:rsid w:val="00FA21BD"/>
    <w:rsid w:val="00FB46C7"/>
    <w:rsid w:val="00FC2B5F"/>
    <w:rsid w:val="00FD0009"/>
    <w:rsid w:val="00FD51B5"/>
    <w:rsid w:val="00FF690A"/>
    <w:rsid w:val="041F71FF"/>
    <w:rsid w:val="0CCA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uiPriority w:val="99"/>
    <w:rPr>
      <w:rFonts w:ascii="宋体" w:hAnsi="Courier New" w:cs="Courier New"/>
      <w:szCs w:val="21"/>
    </w:rPr>
  </w:style>
  <w:style w:type="paragraph" w:styleId="3">
    <w:name w:val="Balloon Text"/>
    <w:basedOn w:val="1"/>
    <w:link w:val="14"/>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标题名"/>
    <w:basedOn w:val="2"/>
    <w:uiPriority w:val="0"/>
    <w:pPr>
      <w:jc w:val="center"/>
    </w:pPr>
    <w:rPr>
      <w:rFonts w:hAnsi="宋体" w:eastAsia="宋体" w:cs="Courier New"/>
      <w:sz w:val="44"/>
      <w:szCs w:val="21"/>
    </w:rPr>
  </w:style>
  <w:style w:type="paragraph" w:customStyle="1" w:styleId="10">
    <w:name w:val="题注信息"/>
    <w:basedOn w:val="2"/>
    <w:uiPriority w:val="0"/>
    <w:pPr>
      <w:ind w:leftChars="400" w:right="630" w:rightChars="300"/>
    </w:pPr>
    <w:rPr>
      <w:rFonts w:hAnsi="宋体" w:eastAsia="楷体_GB2312" w:cs="Courier New"/>
      <w:sz w:val="32"/>
      <w:szCs w:val="21"/>
    </w:rPr>
  </w:style>
  <w:style w:type="paragraph" w:customStyle="1" w:styleId="11">
    <w:name w:val="文号"/>
    <w:basedOn w:val="2"/>
    <w:uiPriority w:val="0"/>
    <w:pPr>
      <w:jc w:val="center"/>
    </w:pPr>
    <w:rPr>
      <w:rFonts w:hAnsi="宋体" w:eastAsia="楷体_GB2312" w:cs="Courier New"/>
      <w:sz w:val="32"/>
      <w:szCs w:val="21"/>
    </w:rPr>
  </w:style>
  <w:style w:type="paragraph" w:customStyle="1" w:styleId="12">
    <w:name w:val="默认段落字体 Para Char Char Char Char Char Char Char"/>
    <w:basedOn w:val="1"/>
    <w:uiPriority w:val="0"/>
  </w:style>
  <w:style w:type="character" w:customStyle="1" w:styleId="13">
    <w:name w:val="页眉 Char"/>
    <w:basedOn w:val="7"/>
    <w:link w:val="5"/>
    <w:uiPriority w:val="0"/>
    <w:rPr>
      <w:kern w:val="2"/>
      <w:sz w:val="18"/>
      <w:szCs w:val="18"/>
    </w:rPr>
  </w:style>
  <w:style w:type="character" w:customStyle="1" w:styleId="14">
    <w:name w:val="批注框文本 Char"/>
    <w:basedOn w:val="7"/>
    <w:link w:val="3"/>
    <w:qFormat/>
    <w:uiPriority w:val="0"/>
    <w:rPr>
      <w:kern w:val="2"/>
      <w:sz w:val="18"/>
      <w:szCs w:val="18"/>
    </w:rPr>
  </w:style>
  <w:style w:type="character" w:customStyle="1" w:styleId="15">
    <w:name w:val="纯文本 Char"/>
    <w:basedOn w:val="7"/>
    <w:link w:val="2"/>
    <w:uiPriority w:val="99"/>
    <w:rPr>
      <w:rFonts w:ascii="宋体" w:hAnsi="Courier New" w:cs="Courier New"/>
      <w:kern w:val="2"/>
      <w:sz w:val="21"/>
      <w:szCs w:val="21"/>
    </w:rPr>
  </w:style>
  <w:style w:type="paragraph" w:customStyle="1" w:styleId="16">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A0059-2D52-4DBD-A422-F1E407C3AE4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1117</Words>
  <Characters>475</Characters>
  <Lines>3</Lines>
  <Paragraphs>3</Paragraphs>
  <TotalTime>7</TotalTime>
  <ScaleCrop>false</ScaleCrop>
  <LinksUpToDate>false</LinksUpToDate>
  <CharactersWithSpaces>1589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2019-04-28T07:58:00Z</dcterms:created>
  <dc:creator>Lenovo User</dc:creator>
  <cp:lastModifiedBy>爱思思</cp:lastModifiedBy>
  <cp:lastPrinted>2014-04-03T09:04:00Z</cp:lastPrinted>
  <dcterms:modified xsi:type="dcterms:W3CDTF">2019-08-01T03:03:43Z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